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91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关于进一步支持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现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代服务业高质量发展的</w:t>
      </w:r>
    </w:p>
    <w:p w14:paraId="0FC30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若干政策措施</w:t>
      </w:r>
    </w:p>
    <w:p w14:paraId="79EF3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3BD8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为深入学习贯彻党的二十大、二十届三中全会精神和习近平总书记重要讲话精神，完整准确全面贯彻新发展理念，推动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代服务业高质量发展重点任务落实，努力构建优质高效、布局优化、竞争力强的服务业产业体系，加快建成具有产业创新引领力、城市品质吸引力、区域辐射影响力的通城活力新中心，特制定政策措施如下。</w:t>
      </w:r>
    </w:p>
    <w:p w14:paraId="17F872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支持对象</w:t>
      </w:r>
    </w:p>
    <w:p w14:paraId="0C62E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在南通市经济技术开发区（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创新区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）内依法登记注册设立、依法纳税、如实接受统计，具有独立法人资格的服务业企业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（不含房地产开发业）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，主营业务包括软件信息、商务服务、科技服务、文化娱乐、运输代理、批零住餐等。</w:t>
      </w:r>
    </w:p>
    <w:p w14:paraId="6A0E4A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支持范围与标准</w:t>
      </w:r>
    </w:p>
    <w:p w14:paraId="2C0020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（一）支持企业落户与发展</w:t>
      </w:r>
    </w:p>
    <w:p w14:paraId="5131F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1.投资奖励。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对来区投资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设立的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软件、信息服务企业，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三年内实现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年度缴纳社保人数大于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20人（满6个月）且年度销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售收入大于2000万元的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，根据达标时间按其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销售额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的5%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、3%、1%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予以一次性投资奖励，最高不超过100万元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（上年度四季度新注册企业以次年作为首年度）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</w:p>
    <w:p w14:paraId="5CC1B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/>
          <w:i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2.盘活闲置资产奖励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。新落户服务业企业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年度缴纳社保人数大于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20人（满6个月）租赁区内办公用房的，按照缴纳社保人数人均不超过15㎡的标准、每月不超过30元/平方米的标准据实予以奖励，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"/>
        </w:rPr>
        <w:t>补贴期限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不超过3年，实行先交后补，每年兑现一次。</w:t>
      </w:r>
    </w:p>
    <w:p w14:paraId="69D67B0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.设备投资奖励。对上年度7月1日以后新开工的计划总投资超2000万元（其中文化娱乐类计划总投资超1000万元）且当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度实际入库设备投资额不低于计划总投资30%的服务业项目，按照当年度实际入库设备投资额（不含税）的5%进行奖励，竣工投产后按剩余实际入库设备投资额（不含税）的4%进行奖励。其中，现代物流设备投资额需达到1500万元及以上（不含税），按照当年度实际入库设备投资额（不含税）的4%进行奖励，竣工投产后按剩余实际入库设备投资额（不含税）的3%进行奖励。单个项目区级奖励金额累计不超过200万元。</w:t>
      </w:r>
    </w:p>
    <w:p w14:paraId="22A3D7B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鼓励升规。当年达到新进规上服务业企业和限额以上批零住餐企业标准，月度新增企业在一季度、二季度、三季度、四季度入库的，分别奖励12万元、10万元、8万元、5万元，年度新增企业奖励3万元（区外统计库转入的视为年度新增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对年度新增入库的限额以上产业活动单位（个体户）奖励1万元。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入驻楼宇的规上服务业企业（不含批零住餐）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，当年度销售额达500万元（含）至2000万元的，每500万元奖励2万元；当年度销售额达2000万元（含）至5000万元的，每1000万元奖励5万元；5000万元（含）以上的，每1000万元奖励6万元。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（自申请之日起连续奖励不超过5年），单个企业每年奖补不超过1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0万元。</w:t>
      </w:r>
    </w:p>
    <w:p w14:paraId="2A02E60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.经营上台阶奖励。对当年销售额首次突破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5000万元、1亿元、5亿元的规上服务业企业，分别奖励3万元、5万元、10万元（其中：软件信息服务业企业销售额首次突破5000万元、1亿元、5亿元、10亿元的，分别一次性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最高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奖励50万元、80万元、100万元、300万元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none"/>
          <w:lang w:val="en-US" w:eastAsia="zh-CN"/>
        </w:rPr>
        <w:t>；文化体育娱乐业企业销售额首次突破1000万元、2000万元，分别一次性最高奖励25万元、30万元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）；对规上服务业连续三年主营业务收入增幅保持12%及以上的企业，当年度奖励10万元。</w:t>
      </w:r>
    </w:p>
    <w:p w14:paraId="2A3A88C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/>
          <w:i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对月度新增住宿业企业当年销售额突破500万元、餐饮业企业当年销售额突破1000万元，当年度奖励10万元；对当年销售额首次突破2亿元、5亿元、10亿元、20亿元、30亿元的限上批发业企业，分别奖励5万元、10万元、15万元、20万元、30万元，30亿元以上每增加10亿元，增加奖励5万元。对当年销售额首次突破5000万、1亿元、5亿元的限上零售业企业，分别奖励10万元、20万元、30万元，5亿元以上每增加1亿元，增加奖励10万元。</w:t>
      </w:r>
    </w:p>
    <w:p w14:paraId="0C1DD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6.做大离岸外包奖励。经市商务局认定的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服务外包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离岸执行额超过100万美元，五年内按离岸服务外包执行额每1美元奖励人民币0.2元，最高不超过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00万元。</w:t>
      </w:r>
    </w:p>
    <w:p w14:paraId="18FE2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资质提升。对列入江苏省专精特新软件企业培育库企业，奖励10万元。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对新通过软件能力成熟度集成模型（CMMI）五级、四级、三级认证的软件信息企业，分别给予50万元、30万元、10万元奖励；对新通过信息技术服务标准（ITSS）一级、二级认证的软件信息企业，分别给予30万元、10万元奖励。年度首版次软件销售额达到1000万元、1亿元、3亿元（含）以上的，入选省级的按销售额的1%、3%、5%，入选国家级的按销售额的1.1%、3.3%、5.5%给予补助，单个产品最高补助500万元。</w:t>
      </w:r>
    </w:p>
    <w:p w14:paraId="2720F16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/>
          <w:i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主辅分离。鼓励我区制造业企业将企业内部信息技术服务、科技服务、研发设计等非核心业务从主业中分离。对分离出来且新纳入规上服务业统计库的生产性服务业企业，按其当年销售额，每100万元奖励5万元，每家企业最高奖励100万元；对分离出来且新纳入限上统计库的采购或销售企业，按其当年销售额，每5000万元奖励5万元，每家企业最高奖励100万元。（每家制造业企业分离出同类型服务业企业仅享受一次主辅分离政策）</w:t>
      </w:r>
    </w:p>
    <w:p w14:paraId="1CB437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Times New Roman" w:hAnsi="Times New Roman" w:eastAsia="仿宋_GB2312" w:cs="Times New Roman"/>
          <w:i/>
          <w:i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.荣誉认定。对新进入“世界500强”“中国500强”“中国民营企业500强”榜单的企业，分别给予100万元、80万元、50万元一次性补助。每年开展一次优秀企业认定，依据企业成长性、发展水平、创新能力等因素，认定一批优秀骨干企业，给予一定补助。</w:t>
      </w:r>
    </w:p>
    <w:p w14:paraId="30D68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 xml:space="preserve">）支持人才引进与保障 </w:t>
      </w:r>
    </w:p>
    <w:p w14:paraId="06F0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/>
          <w:i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人才集聚。对来区落户的软件信息服务业企业根据其缴纳社保满6个月的软件工程师数量进行奖励，在市级奖励基础上，助理或初级工程师奖励1000元/人、中级工程师奖励2000元/人、高级工程师奖励3000元/人。该奖励每人每档仅可享受一次。</w:t>
      </w:r>
    </w:p>
    <w:p w14:paraId="3D47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.扩大就业规模奖励。对新落户的服务业企业（不含人力资源企业），吸纳从业人员规模超过50人（含）、人均年销售额达到15万元以上的，按照当年缴纳社保满6个月的实际人员规模，给予第一年5000 元/人、第二年4000元/人、第三年3000元/人、第四年2000元/人、第五年2000元/人的奖励，其中第二年起，新增人数按新轮次计算奖励。</w:t>
      </w:r>
    </w:p>
    <w:p w14:paraId="58171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.员工福利。新落户企业年度缴纳社保人数大于50人（满6个月）为员工购买补充商业医疗保险，三年内可按企业实际购险人数给予人均500元/年的保费奖励，每年最高不超过50万元。</w:t>
      </w:r>
    </w:p>
    <w:p w14:paraId="45DF8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）支持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"/>
        </w:rPr>
        <w:t>楼宇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建设与运营</w:t>
      </w:r>
    </w:p>
    <w:p w14:paraId="734320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楼宇招商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。鼓励楼宇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市场化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运营主体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独立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招引优质服务业企业，每新引进1家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规模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以上的软件和信息技术服务、科技服务、金融服务、数字文化等鼓励类新兴服务业企业（持续经营6个月以上），奖励楼宇运营主体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万元；鼓励招引国际知名企业、上市公司、中国服务业企业500强省级（含）以上区域总部或功能性机构入驻的，每引进一家企业，经认定后给予楼宇运营主体20万元一次性奖励。</w:t>
      </w:r>
    </w:p>
    <w:p w14:paraId="61BB2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鼓励商办楼宇提升运营管理水平。楼宇主体聘请知名专业房地产服务商对楼宇进行整体运营管理，实际服务年限达2年（含）以上的，经评估认定，一次性给予楼宇主体30万元补贴。</w:t>
      </w:r>
    </w:p>
    <w:p w14:paraId="51204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鼓励商办楼宇引入中介招商。楼宇运营主体委托知名招商中介进行独家代理招商，合同服务期限达3年（含）以上的，经评估认定，按照合同基础服务费的20%补贴楼宇运营主体，最高不超过100万元。</w:t>
      </w:r>
    </w:p>
    <w:p w14:paraId="5ADFB7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"/>
        </w:rPr>
        <w:t>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支持商圈培育与提升</w:t>
      </w:r>
    </w:p>
    <w:p w14:paraId="125EA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/>
          <w:iCs/>
          <w:color w:val="auto"/>
          <w:sz w:val="32"/>
          <w:szCs w:val="32"/>
          <w:u w:val="none"/>
          <w:lang w:val="en-US" w:eastAsia="z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商圈升级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"/>
        </w:rPr>
        <w:t>综合体或街区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引进24小时便利店、“深夜食堂”、潮酒吧等新兴消费业态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每引进一个国际、国内知名品牌首店，经认定后分别给予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运营主体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奖励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20万元、10万元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。</w:t>
      </w:r>
    </w:p>
    <w:p w14:paraId="48A36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/>
          <w:i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.品牌门店。大力发展能达商务商圈，对限额以上的法人品牌门店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（汽车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"/>
        </w:rPr>
        <w:t>销售企业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除外）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且每年销售额增长率达到5%以上的，按照年度净增额的1%给予奖励，同一企业每年奖励额最高不超过100万元。对新认定的南通精致餐饮、精品酒店企业，每家奖励不超过30万元。鼓励餐饮企业参与“国家钻级酒家”“米其林”“黑珍珠”餐厅评选打榜，对新评定或引进的国家白金五钻酒家/米其林三星餐厅/黑珍珠三钻餐厅、国家五钻酒家/米其林二星餐厅/黑珍珠二钻餐厅、国家四钻酒家/米其林一星餐厅/黑珍珠一钻餐厅的餐饮企业，分别奖励50万元、40万元、30万元；对参加复评，并获得钻级/星级提升的酒家餐厅，给予新获评钻级/星级和原钻级/星级奖励金额的差额奖励。</w:t>
      </w:r>
    </w:p>
    <w:p w14:paraId="28E2C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.直播电商。积极引进直播电商供应链品牌企业，对注册在区内，专职主播数量不低于20人，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服务企业不少于20家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，年直播交易总额不低于5000万元的直播电商企业，奖励20万元。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</w:rPr>
        <w:t>网络零售额达500万元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</w:rPr>
        <w:t>至1亿元，且同比正增长的，按照新增网络零售额的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</w:rPr>
        <w:t>%给予奖励，最高不超过100万元；对网络零售额达1亿元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u w:val="none"/>
        </w:rPr>
        <w:t>以上，且同比正增长的，按照新增网络零售额的0.5%给予奖励，最高不超过200万元。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通过直播电商企业虹吸效应引进的品牌企业，每引进一家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"/>
        </w:rPr>
        <w:t>限上批零企业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给予直播电商企业最高20万元一次性奖励。</w:t>
      </w:r>
    </w:p>
    <w:p w14:paraId="5D1E00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数智消费。推进数字生活新服务行动，依托市级“惠聚南通·美好生活”四季主题促消费系列活动，鼓励引导市场主体承办区级促消费活动，安排区级促进消费专项资金，围绕支持汽车消费、新兴消费、服务消费、夜间消费、强化品牌建设等重点领域，恢复和扩大消费水平。</w:t>
      </w:r>
    </w:p>
    <w:p w14:paraId="00EB0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u w:val="none"/>
          <w:lang w:val="en-US" w:eastAsia="zh-CN"/>
        </w:rPr>
        <w:t>.活动举办。对企业或社会化机构举办高峰论坛、企业路演、圆桌会议、大咖讲座、消费促进、产业链对接、银政企对接等有利于推动高质量发展的主题活动，按实际费用的60%给予补贴，单次活动补贴金额不超过10万元，同一企业全年补贴总额不超过30万元。</w:t>
      </w:r>
    </w:p>
    <w:p w14:paraId="6526B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三、管理与监督</w:t>
      </w:r>
    </w:p>
    <w:p w14:paraId="43CF8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（一）获得支持的企业，应按照《企业会计准则》的规定对支持资金进行会计核算。</w:t>
      </w:r>
    </w:p>
    <w:p w14:paraId="6846F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（二）企业在申报、执行项目过程中有弄虚作假、未按规定专款专用的、拒绝配合监督检查的，将取消申报资格或收回资金，同时将该企业列入诚信黑名单，剔除出资金支持范围。</w:t>
      </w:r>
    </w:p>
    <w:p w14:paraId="736FC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四、附则</w:t>
      </w:r>
    </w:p>
    <w:p w14:paraId="549E5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（一）同一企业或项目符合本实施意见政策条款及区级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（创新区）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其他政策的，企业按照同一类别，就高从优的原则享受政策，不重复享受。同一项目同时符合市、区两级政策的，如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3、6、10、11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按照“先市后区”原则申报奖励，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不叠加享受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 w14:paraId="2CB79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（二）本实施意见由中共南通市经济技术开发区工作委员会、南通市经济技术开发区管理委员会负责解释，具体解释工作由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经济发展局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负责。</w:t>
      </w:r>
    </w:p>
    <w:p w14:paraId="020D4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（三）本实施意见自公布之日起施行，有效期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"/>
        </w:rPr>
        <w:t>，试行一年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原《南通市经济技术开发区管理委员会办公室印发&lt;关于支持数字文创产业发展的若干政策（试行）&gt;的通知》（通开发管办〔2023〕24号）、《南通市经济技术开发区管理委员会办公室印发&lt;关于支持服务外包产业发展的若干政策（试行）&gt;的通知》（通开发管办〔2023〕25号）、《南通市经济技术开发区管理委员会办公室印发&lt;关于支持楼宇经济发展的若干政策（试行）&gt;的通知》（通开发管办〔2023〕26号）、《南通市经济技术开发区管理委员会办公室印发&lt;关于支持软件信息产业发展的若干政策（试行）&gt;的通知》（通开发管办〔2023〕27号）不再执行。</w:t>
      </w:r>
    </w:p>
    <w:p w14:paraId="74082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CB8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97C1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97C1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545F3"/>
    <w:multiLevelType w:val="singleLevel"/>
    <w:tmpl w:val="888545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jk0YmNlODA0ZTZhZjVlZjJmZDhjMWIxNzA3Y2MifQ=="/>
  </w:docVars>
  <w:rsids>
    <w:rsidRoot w:val="00000000"/>
    <w:rsid w:val="01C26E13"/>
    <w:rsid w:val="028E6C09"/>
    <w:rsid w:val="02E828A9"/>
    <w:rsid w:val="04C44C50"/>
    <w:rsid w:val="055C30DB"/>
    <w:rsid w:val="06775734"/>
    <w:rsid w:val="07301FCF"/>
    <w:rsid w:val="07465DF0"/>
    <w:rsid w:val="076E2793"/>
    <w:rsid w:val="07787932"/>
    <w:rsid w:val="085119EE"/>
    <w:rsid w:val="088A5A8D"/>
    <w:rsid w:val="08CC67C9"/>
    <w:rsid w:val="096D3B08"/>
    <w:rsid w:val="0B6179A3"/>
    <w:rsid w:val="0B7218AA"/>
    <w:rsid w:val="0E7771D7"/>
    <w:rsid w:val="0E903DF5"/>
    <w:rsid w:val="10152804"/>
    <w:rsid w:val="10473528"/>
    <w:rsid w:val="106E5FEC"/>
    <w:rsid w:val="112371A2"/>
    <w:rsid w:val="11427629"/>
    <w:rsid w:val="11A37FB9"/>
    <w:rsid w:val="11F1409D"/>
    <w:rsid w:val="12435D4E"/>
    <w:rsid w:val="12C549A4"/>
    <w:rsid w:val="12F928B1"/>
    <w:rsid w:val="131B2827"/>
    <w:rsid w:val="138E4DA7"/>
    <w:rsid w:val="139838D9"/>
    <w:rsid w:val="14096F93"/>
    <w:rsid w:val="14117786"/>
    <w:rsid w:val="14D26F15"/>
    <w:rsid w:val="1571672E"/>
    <w:rsid w:val="168C5346"/>
    <w:rsid w:val="16F5513D"/>
    <w:rsid w:val="17BF5E77"/>
    <w:rsid w:val="18CE5C46"/>
    <w:rsid w:val="192C753C"/>
    <w:rsid w:val="19ED0509"/>
    <w:rsid w:val="1A7B4A84"/>
    <w:rsid w:val="1BA71E4D"/>
    <w:rsid w:val="1C0227D6"/>
    <w:rsid w:val="1C24690F"/>
    <w:rsid w:val="1C536A15"/>
    <w:rsid w:val="1C6A52AB"/>
    <w:rsid w:val="1CBD66FD"/>
    <w:rsid w:val="1E3F4938"/>
    <w:rsid w:val="1ED13D07"/>
    <w:rsid w:val="201765F2"/>
    <w:rsid w:val="2033526B"/>
    <w:rsid w:val="20B478A8"/>
    <w:rsid w:val="20FF768A"/>
    <w:rsid w:val="21AD6D40"/>
    <w:rsid w:val="224308C2"/>
    <w:rsid w:val="22C97440"/>
    <w:rsid w:val="22CC58EC"/>
    <w:rsid w:val="236002A1"/>
    <w:rsid w:val="237E25A5"/>
    <w:rsid w:val="24E2761C"/>
    <w:rsid w:val="24F86524"/>
    <w:rsid w:val="25117791"/>
    <w:rsid w:val="25583467"/>
    <w:rsid w:val="25C7239A"/>
    <w:rsid w:val="26DD19CD"/>
    <w:rsid w:val="271433BD"/>
    <w:rsid w:val="276854B7"/>
    <w:rsid w:val="276F6846"/>
    <w:rsid w:val="281C5ED1"/>
    <w:rsid w:val="28AF339E"/>
    <w:rsid w:val="29B03EAA"/>
    <w:rsid w:val="2A1536D4"/>
    <w:rsid w:val="2A375D41"/>
    <w:rsid w:val="2B3202B6"/>
    <w:rsid w:val="2B830B12"/>
    <w:rsid w:val="2B911DCF"/>
    <w:rsid w:val="2B9B3C76"/>
    <w:rsid w:val="2C0E487F"/>
    <w:rsid w:val="2DAC4350"/>
    <w:rsid w:val="2ED3590C"/>
    <w:rsid w:val="305F7D9F"/>
    <w:rsid w:val="30B7193D"/>
    <w:rsid w:val="31DE6AA2"/>
    <w:rsid w:val="328167C2"/>
    <w:rsid w:val="32D74F8B"/>
    <w:rsid w:val="355C2AFF"/>
    <w:rsid w:val="35A10512"/>
    <w:rsid w:val="379105D4"/>
    <w:rsid w:val="37982C1F"/>
    <w:rsid w:val="37F012DD"/>
    <w:rsid w:val="395F6C2C"/>
    <w:rsid w:val="396B1563"/>
    <w:rsid w:val="3AC920DE"/>
    <w:rsid w:val="3AE25855"/>
    <w:rsid w:val="3AF556B3"/>
    <w:rsid w:val="3AF64E5C"/>
    <w:rsid w:val="3B0F4170"/>
    <w:rsid w:val="3BDC22A4"/>
    <w:rsid w:val="3EE53CC4"/>
    <w:rsid w:val="3F74620D"/>
    <w:rsid w:val="3FCE0156"/>
    <w:rsid w:val="42022339"/>
    <w:rsid w:val="429733C9"/>
    <w:rsid w:val="437C611B"/>
    <w:rsid w:val="43852A50"/>
    <w:rsid w:val="43947908"/>
    <w:rsid w:val="44413DD0"/>
    <w:rsid w:val="446E56E7"/>
    <w:rsid w:val="448E6105"/>
    <w:rsid w:val="453A003B"/>
    <w:rsid w:val="4657593E"/>
    <w:rsid w:val="465869CB"/>
    <w:rsid w:val="46A21D5E"/>
    <w:rsid w:val="46DA1F9F"/>
    <w:rsid w:val="47797541"/>
    <w:rsid w:val="48E704DA"/>
    <w:rsid w:val="49755D88"/>
    <w:rsid w:val="4B751DCD"/>
    <w:rsid w:val="4CCE3E8B"/>
    <w:rsid w:val="4CDF0B23"/>
    <w:rsid w:val="4DD66744"/>
    <w:rsid w:val="4E9C3B15"/>
    <w:rsid w:val="4EA134C0"/>
    <w:rsid w:val="4EAC03F1"/>
    <w:rsid w:val="4EAC7935"/>
    <w:rsid w:val="4EE554BC"/>
    <w:rsid w:val="4F2C4E99"/>
    <w:rsid w:val="4F912F4E"/>
    <w:rsid w:val="4FF84D7B"/>
    <w:rsid w:val="5017002D"/>
    <w:rsid w:val="50EB0ACD"/>
    <w:rsid w:val="51102709"/>
    <w:rsid w:val="51846ACD"/>
    <w:rsid w:val="51DB3A8D"/>
    <w:rsid w:val="52727F85"/>
    <w:rsid w:val="53332C9A"/>
    <w:rsid w:val="5413598C"/>
    <w:rsid w:val="554A42CB"/>
    <w:rsid w:val="55F61036"/>
    <w:rsid w:val="562B12B5"/>
    <w:rsid w:val="57584B20"/>
    <w:rsid w:val="57CA13A3"/>
    <w:rsid w:val="57E06962"/>
    <w:rsid w:val="581D7A74"/>
    <w:rsid w:val="593254E5"/>
    <w:rsid w:val="593C3F2A"/>
    <w:rsid w:val="599430DA"/>
    <w:rsid w:val="59AC5554"/>
    <w:rsid w:val="59BEF168"/>
    <w:rsid w:val="5A313212"/>
    <w:rsid w:val="5AF0793A"/>
    <w:rsid w:val="5B0B1E06"/>
    <w:rsid w:val="5B8F47E5"/>
    <w:rsid w:val="5BE55837"/>
    <w:rsid w:val="5E14206D"/>
    <w:rsid w:val="5E6D71C7"/>
    <w:rsid w:val="5FBF1411"/>
    <w:rsid w:val="60911000"/>
    <w:rsid w:val="60A55BEB"/>
    <w:rsid w:val="613025C6"/>
    <w:rsid w:val="6353259C"/>
    <w:rsid w:val="647F336D"/>
    <w:rsid w:val="65DC2D1D"/>
    <w:rsid w:val="661E1587"/>
    <w:rsid w:val="665F74AA"/>
    <w:rsid w:val="667A42E4"/>
    <w:rsid w:val="66987842"/>
    <w:rsid w:val="6712451C"/>
    <w:rsid w:val="6716400D"/>
    <w:rsid w:val="68EA5751"/>
    <w:rsid w:val="691AC714"/>
    <w:rsid w:val="69470DF5"/>
    <w:rsid w:val="69B55D5F"/>
    <w:rsid w:val="6A154A4F"/>
    <w:rsid w:val="6A220F1A"/>
    <w:rsid w:val="6B607F4C"/>
    <w:rsid w:val="6B6A4927"/>
    <w:rsid w:val="6BAB5FA2"/>
    <w:rsid w:val="6C805ED8"/>
    <w:rsid w:val="6CBB2DD5"/>
    <w:rsid w:val="6D0111FC"/>
    <w:rsid w:val="6D6F6B57"/>
    <w:rsid w:val="6DEE183F"/>
    <w:rsid w:val="6E2434B3"/>
    <w:rsid w:val="6E657628"/>
    <w:rsid w:val="6FFF7141"/>
    <w:rsid w:val="70732A22"/>
    <w:rsid w:val="71AB7A47"/>
    <w:rsid w:val="731C6294"/>
    <w:rsid w:val="732E46E8"/>
    <w:rsid w:val="73896EE0"/>
    <w:rsid w:val="757840E4"/>
    <w:rsid w:val="75B55338"/>
    <w:rsid w:val="75E31EA6"/>
    <w:rsid w:val="76947367"/>
    <w:rsid w:val="769E7C97"/>
    <w:rsid w:val="76AC2297"/>
    <w:rsid w:val="78DB753B"/>
    <w:rsid w:val="79226841"/>
    <w:rsid w:val="792C22B7"/>
    <w:rsid w:val="798B3FE9"/>
    <w:rsid w:val="79D521C7"/>
    <w:rsid w:val="79F76730"/>
    <w:rsid w:val="7A5A7AA5"/>
    <w:rsid w:val="7A886B78"/>
    <w:rsid w:val="7AF87519"/>
    <w:rsid w:val="7B2F5245"/>
    <w:rsid w:val="7B62386D"/>
    <w:rsid w:val="7B7F375A"/>
    <w:rsid w:val="7B95154C"/>
    <w:rsid w:val="7BB451E2"/>
    <w:rsid w:val="7CBA4FE2"/>
    <w:rsid w:val="7DB58C30"/>
    <w:rsid w:val="7E5E656D"/>
    <w:rsid w:val="7E976439"/>
    <w:rsid w:val="7F0A3FFF"/>
    <w:rsid w:val="7F5F2F5A"/>
    <w:rsid w:val="7F7FB460"/>
    <w:rsid w:val="7FB616DB"/>
    <w:rsid w:val="7FE74340"/>
    <w:rsid w:val="7FEF7311"/>
    <w:rsid w:val="B7F963DB"/>
    <w:rsid w:val="EEFCDF80"/>
    <w:rsid w:val="F7D5A72F"/>
    <w:rsid w:val="FD6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4117</Words>
  <Characters>4397</Characters>
  <Lines>1</Lines>
  <Paragraphs>1</Paragraphs>
  <TotalTime>46</TotalTime>
  <ScaleCrop>false</ScaleCrop>
  <LinksUpToDate>false</LinksUpToDate>
  <CharactersWithSpaces>4399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2023-06-07T20:59:00Z</dcterms:created>
  <dc:creator>Administrator</dc:creator>
  <cp:lastModifiedBy>NTKO</cp:lastModifiedBy>
  <cp:lastPrinted>2024-09-12T03:26:00Z</cp:lastPrinted>
  <dcterms:modified xsi:type="dcterms:W3CDTF">2024-11-13T07:53:07Z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E2738421FC0D452E842691FDB5F1DF03_13</vt:lpwstr>
  </property>
</Properties>
</file>