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F2" w:rsidRPr="000E1ABA" w:rsidRDefault="00B23AF2" w:rsidP="000E1ABA">
      <w:pPr>
        <w:widowControl/>
        <w:jc w:val="left"/>
        <w:rPr>
          <w:rFonts w:ascii="仿宋" w:eastAsia="仿宋" w:hAnsi="仿宋" w:cs="Times New Roman"/>
          <w:color w:val="333333"/>
          <w:kern w:val="0"/>
          <w:sz w:val="32"/>
          <w:szCs w:val="32"/>
        </w:rPr>
      </w:pPr>
      <w:bookmarkStart w:id="0" w:name="_GoBack"/>
      <w:bookmarkEnd w:id="0"/>
      <w:r w:rsidRPr="00A35330">
        <w:rPr>
          <w:rFonts w:ascii="仿宋" w:eastAsia="仿宋" w:hAnsi="仿宋" w:hint="eastAsia"/>
          <w:bCs/>
          <w:color w:val="333333"/>
          <w:sz w:val="32"/>
          <w:szCs w:val="32"/>
        </w:rPr>
        <w:t>附件</w:t>
      </w:r>
      <w:r w:rsidR="00604240" w:rsidRPr="00A35330">
        <w:rPr>
          <w:rFonts w:ascii="仿宋" w:eastAsia="仿宋" w:hAnsi="仿宋" w:hint="eastAsia"/>
          <w:bCs/>
          <w:color w:val="333333"/>
          <w:sz w:val="32"/>
          <w:szCs w:val="32"/>
        </w:rPr>
        <w:t>1</w:t>
      </w:r>
    </w:p>
    <w:p w:rsidR="00604240" w:rsidRDefault="00604240" w:rsidP="00A35330">
      <w:pPr>
        <w:pStyle w:val="a5"/>
        <w:widowControl/>
        <w:spacing w:beforeAutospacing="0" w:afterAutospacing="0" w:line="30" w:lineRule="atLeast"/>
        <w:ind w:firstLine="420"/>
        <w:jc w:val="center"/>
        <w:rPr>
          <w:rFonts w:ascii="黑体" w:eastAsia="黑体" w:hAnsi="黑体"/>
          <w:bCs/>
          <w:color w:val="333333"/>
          <w:sz w:val="36"/>
          <w:szCs w:val="36"/>
        </w:rPr>
      </w:pPr>
      <w:r w:rsidRPr="00A35330">
        <w:rPr>
          <w:rFonts w:ascii="黑体" w:eastAsia="黑体" w:hAnsi="黑体" w:hint="eastAsia"/>
          <w:bCs/>
          <w:color w:val="333333"/>
          <w:sz w:val="36"/>
          <w:szCs w:val="36"/>
        </w:rPr>
        <w:t>抽检计划表</w:t>
      </w:r>
    </w:p>
    <w:p w:rsidR="00250F7B" w:rsidRPr="00A35330" w:rsidRDefault="00250F7B" w:rsidP="00A35330">
      <w:pPr>
        <w:pStyle w:val="a5"/>
        <w:widowControl/>
        <w:spacing w:beforeAutospacing="0" w:afterAutospacing="0" w:line="30" w:lineRule="atLeast"/>
        <w:ind w:firstLine="420"/>
        <w:jc w:val="center"/>
        <w:rPr>
          <w:rFonts w:ascii="黑体" w:eastAsia="黑体" w:hAnsi="黑体"/>
          <w:bCs/>
          <w:color w:val="333333"/>
          <w:sz w:val="36"/>
          <w:szCs w:val="36"/>
        </w:rPr>
      </w:pPr>
    </w:p>
    <w:tbl>
      <w:tblPr>
        <w:tblW w:w="9064" w:type="dxa"/>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37"/>
        <w:gridCol w:w="5143"/>
        <w:gridCol w:w="1276"/>
      </w:tblGrid>
      <w:tr w:rsidR="00DB5F4F" w:rsidTr="00466A76">
        <w:trPr>
          <w:trHeight w:val="422"/>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序号</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声称保健功能类别</w:t>
            </w:r>
          </w:p>
        </w:tc>
        <w:tc>
          <w:tcPr>
            <w:tcW w:w="5143"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检测项目</w:t>
            </w:r>
          </w:p>
        </w:tc>
        <w:tc>
          <w:tcPr>
            <w:tcW w:w="1276"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抽检数量（批次）</w:t>
            </w:r>
          </w:p>
        </w:tc>
      </w:tr>
      <w:tr w:rsidR="00DB5F4F" w:rsidTr="00466A76">
        <w:trPr>
          <w:trHeight w:val="875"/>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1</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减肥类</w:t>
            </w:r>
          </w:p>
        </w:tc>
        <w:tc>
          <w:tcPr>
            <w:tcW w:w="5143"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西布曲明、麻黄碱、芬氟拉明</w:t>
            </w:r>
          </w:p>
        </w:tc>
        <w:tc>
          <w:tcPr>
            <w:tcW w:w="1276"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5</w:t>
            </w:r>
          </w:p>
        </w:tc>
      </w:tr>
      <w:tr w:rsidR="00DB5F4F" w:rsidTr="00466A76">
        <w:trPr>
          <w:trHeight w:val="454"/>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2</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辅助降血糖（调节血糖）类</w:t>
            </w:r>
          </w:p>
        </w:tc>
        <w:tc>
          <w:tcPr>
            <w:tcW w:w="5143"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甲苯磺丁脲、格列苯脲、格列齐特、格列吡嗪、格列喹酮、格列美脲、马来酸罗格列酮、瑞格列奈、盐酸吡格列酮、盐酸二甲双胍、盐酸苯乙双胍</w:t>
            </w:r>
          </w:p>
        </w:tc>
        <w:tc>
          <w:tcPr>
            <w:tcW w:w="1276"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1</w:t>
            </w:r>
          </w:p>
        </w:tc>
      </w:tr>
      <w:tr w:rsidR="00DB5F4F" w:rsidTr="00466A76">
        <w:trPr>
          <w:trHeight w:val="1184"/>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3</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缓解体力疲劳（抗疲劳）类</w:t>
            </w:r>
          </w:p>
        </w:tc>
        <w:tc>
          <w:tcPr>
            <w:tcW w:w="5143" w:type="dxa"/>
            <w:vMerge w:val="restart"/>
            <w:shd w:val="clear" w:color="auto" w:fill="auto"/>
            <w:vAlign w:val="center"/>
          </w:tcPr>
          <w:p w:rsidR="00DB5F4F" w:rsidRDefault="00DB5F4F" w:rsidP="002967BF">
            <w:pPr>
              <w:adjustRightInd w:val="0"/>
              <w:snapToGrid w:val="0"/>
              <w:spacing w:line="400" w:lineRule="exact"/>
              <w:jc w:val="left"/>
              <w:rPr>
                <w:rFonts w:ascii="Times New Roman" w:eastAsia="华文仿宋"/>
                <w:sz w:val="24"/>
              </w:rPr>
            </w:pPr>
            <w:r>
              <w:rPr>
                <w:rFonts w:ascii="Times New Roman" w:eastAsia="华文仿宋"/>
                <w:sz w:val="24"/>
              </w:rPr>
              <w:t>那红地那非、红地那非、伐地那非、羟基豪莫西地那非、西地那非、豪莫西地那非、氨基他打拉非、他达拉非、硫代艾地那非、伪伐地那非和那莫西地那非等</w:t>
            </w:r>
            <w:r>
              <w:rPr>
                <w:rFonts w:ascii="Times New Roman" w:eastAsia="华文仿宋"/>
                <w:sz w:val="24"/>
              </w:rPr>
              <w:t>PDE5</w:t>
            </w:r>
            <w:r>
              <w:rPr>
                <w:rFonts w:ascii="Times New Roman" w:eastAsia="华文仿宋"/>
                <w:sz w:val="24"/>
              </w:rPr>
              <w:t>型（磷酸二酯酶</w:t>
            </w:r>
            <w:r>
              <w:rPr>
                <w:rFonts w:ascii="Times New Roman" w:eastAsia="华文仿宋"/>
                <w:sz w:val="24"/>
              </w:rPr>
              <w:t>5</w:t>
            </w:r>
            <w:r>
              <w:rPr>
                <w:rFonts w:ascii="Times New Roman" w:eastAsia="华文仿宋"/>
                <w:sz w:val="24"/>
              </w:rPr>
              <w:t>型）抑制剂</w:t>
            </w:r>
          </w:p>
        </w:tc>
        <w:tc>
          <w:tcPr>
            <w:tcW w:w="1276" w:type="dxa"/>
            <w:vMerge w:val="restart"/>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15</w:t>
            </w:r>
          </w:p>
        </w:tc>
      </w:tr>
      <w:tr w:rsidR="00DB5F4F" w:rsidTr="00466A76">
        <w:trPr>
          <w:trHeight w:val="454"/>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4</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增强免疫力（调节免疫）类</w:t>
            </w:r>
          </w:p>
        </w:tc>
        <w:tc>
          <w:tcPr>
            <w:tcW w:w="5143" w:type="dxa"/>
            <w:vMerge/>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p>
        </w:tc>
        <w:tc>
          <w:tcPr>
            <w:tcW w:w="1276" w:type="dxa"/>
            <w:vMerge/>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p>
        </w:tc>
      </w:tr>
      <w:tr w:rsidR="00DB5F4F" w:rsidTr="00466A76">
        <w:trPr>
          <w:trHeight w:val="454"/>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5</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改善睡眠类</w:t>
            </w:r>
          </w:p>
        </w:tc>
        <w:tc>
          <w:tcPr>
            <w:tcW w:w="5143" w:type="dxa"/>
            <w:shd w:val="clear" w:color="auto" w:fill="auto"/>
            <w:vAlign w:val="center"/>
          </w:tcPr>
          <w:p w:rsidR="00DB5F4F" w:rsidRDefault="00DB5F4F" w:rsidP="002967BF">
            <w:pPr>
              <w:adjustRightInd w:val="0"/>
              <w:snapToGrid w:val="0"/>
              <w:spacing w:line="400" w:lineRule="exact"/>
              <w:jc w:val="left"/>
              <w:rPr>
                <w:rFonts w:ascii="Times New Roman" w:eastAsia="华文仿宋"/>
                <w:sz w:val="24"/>
              </w:rPr>
            </w:pPr>
            <w:r>
              <w:rPr>
                <w:rFonts w:ascii="Times New Roman" w:eastAsia="华文仿宋"/>
                <w:sz w:val="24"/>
              </w:rPr>
              <w:t>地西泮、硝西泮、氯硝西泮、氯氮卓、奥沙西泮、马来酸咪哒唑仑、劳拉西泮、艾司唑仑、阿普唑仑、三唑仑、巴比妥、苯巴比妥、异戊巴比妥、司可巴比妥、氯美扎酮</w:t>
            </w:r>
          </w:p>
        </w:tc>
        <w:tc>
          <w:tcPr>
            <w:tcW w:w="1276"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4</w:t>
            </w:r>
          </w:p>
        </w:tc>
      </w:tr>
      <w:tr w:rsidR="00DB5F4F" w:rsidTr="00466A76">
        <w:trPr>
          <w:trHeight w:val="454"/>
          <w:jc w:val="center"/>
        </w:trPr>
        <w:tc>
          <w:tcPr>
            <w:tcW w:w="808" w:type="dxa"/>
            <w:vAlign w:val="center"/>
          </w:tcPr>
          <w:p w:rsidR="00DB5F4F" w:rsidRDefault="00DB5F4F" w:rsidP="00466A76">
            <w:pPr>
              <w:adjustRightInd w:val="0"/>
              <w:snapToGrid w:val="0"/>
              <w:spacing w:line="400" w:lineRule="exact"/>
              <w:jc w:val="center"/>
              <w:rPr>
                <w:rFonts w:ascii="Times New Roman" w:eastAsia="华文仿宋"/>
                <w:sz w:val="24"/>
              </w:rPr>
            </w:pPr>
            <w:r>
              <w:rPr>
                <w:rFonts w:ascii="Times New Roman" w:eastAsia="华文仿宋" w:hint="eastAsia"/>
                <w:sz w:val="24"/>
              </w:rPr>
              <w:t>6</w:t>
            </w:r>
          </w:p>
        </w:tc>
        <w:tc>
          <w:tcPr>
            <w:tcW w:w="1837"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sz w:val="24"/>
              </w:rPr>
              <w:t>辅助降血压（调节血脂）类</w:t>
            </w:r>
          </w:p>
        </w:tc>
        <w:tc>
          <w:tcPr>
            <w:tcW w:w="5143" w:type="dxa"/>
            <w:shd w:val="clear" w:color="auto" w:fill="auto"/>
            <w:vAlign w:val="center"/>
          </w:tcPr>
          <w:p w:rsidR="00DB5F4F" w:rsidRDefault="00DB5F4F" w:rsidP="002967BF">
            <w:pPr>
              <w:adjustRightInd w:val="0"/>
              <w:snapToGrid w:val="0"/>
              <w:spacing w:line="400" w:lineRule="exact"/>
              <w:jc w:val="left"/>
              <w:rPr>
                <w:rFonts w:ascii="Times New Roman" w:eastAsia="华文仿宋"/>
                <w:sz w:val="24"/>
              </w:rPr>
            </w:pPr>
            <w:r>
              <w:rPr>
                <w:rFonts w:ascii="Times New Roman" w:eastAsia="华文仿宋"/>
                <w:sz w:val="24"/>
              </w:rPr>
              <w:t>阿替洛尔、盐酸可乐定、氢氯噻嗪、卡托普利、哌唑嗪、利血平、硝苯地平</w:t>
            </w:r>
          </w:p>
        </w:tc>
        <w:tc>
          <w:tcPr>
            <w:tcW w:w="1276" w:type="dxa"/>
            <w:shd w:val="clear" w:color="auto" w:fill="auto"/>
            <w:vAlign w:val="center"/>
          </w:tcPr>
          <w:p w:rsidR="00DB5F4F" w:rsidRDefault="00DB5F4F" w:rsidP="002967BF">
            <w:pPr>
              <w:adjustRightInd w:val="0"/>
              <w:snapToGrid w:val="0"/>
              <w:spacing w:line="400" w:lineRule="exact"/>
              <w:jc w:val="center"/>
              <w:rPr>
                <w:rFonts w:ascii="Times New Roman" w:eastAsia="华文仿宋"/>
                <w:sz w:val="24"/>
              </w:rPr>
            </w:pPr>
            <w:r>
              <w:rPr>
                <w:rFonts w:ascii="Times New Roman" w:eastAsia="华文仿宋" w:hint="eastAsia"/>
                <w:sz w:val="24"/>
              </w:rPr>
              <w:t>5</w:t>
            </w:r>
          </w:p>
        </w:tc>
      </w:tr>
      <w:tr w:rsidR="00A35330" w:rsidTr="00466A76">
        <w:trPr>
          <w:trHeight w:val="532"/>
          <w:jc w:val="center"/>
        </w:trPr>
        <w:tc>
          <w:tcPr>
            <w:tcW w:w="808" w:type="dxa"/>
            <w:vAlign w:val="center"/>
          </w:tcPr>
          <w:p w:rsidR="00A35330" w:rsidRDefault="00A35330" w:rsidP="00466A76">
            <w:pPr>
              <w:adjustRightInd w:val="0"/>
              <w:snapToGrid w:val="0"/>
              <w:spacing w:line="400" w:lineRule="exact"/>
              <w:jc w:val="center"/>
              <w:rPr>
                <w:rFonts w:ascii="Times New Roman" w:eastAsia="华文仿宋"/>
                <w:sz w:val="24"/>
              </w:rPr>
            </w:pPr>
            <w:r>
              <w:rPr>
                <w:rFonts w:ascii="Times New Roman" w:eastAsia="华文仿宋" w:hint="eastAsia"/>
                <w:sz w:val="24"/>
              </w:rPr>
              <w:t>合计</w:t>
            </w:r>
          </w:p>
        </w:tc>
        <w:tc>
          <w:tcPr>
            <w:tcW w:w="6980" w:type="dxa"/>
            <w:gridSpan w:val="2"/>
            <w:shd w:val="clear" w:color="auto" w:fill="auto"/>
            <w:vAlign w:val="center"/>
          </w:tcPr>
          <w:p w:rsidR="00A35330" w:rsidRDefault="00A35330" w:rsidP="002967BF">
            <w:pPr>
              <w:adjustRightInd w:val="0"/>
              <w:snapToGrid w:val="0"/>
              <w:spacing w:line="400" w:lineRule="exact"/>
              <w:jc w:val="left"/>
              <w:rPr>
                <w:rFonts w:ascii="Times New Roman" w:eastAsia="华文仿宋"/>
                <w:sz w:val="24"/>
              </w:rPr>
            </w:pPr>
          </w:p>
        </w:tc>
        <w:tc>
          <w:tcPr>
            <w:tcW w:w="1276" w:type="dxa"/>
            <w:shd w:val="clear" w:color="auto" w:fill="auto"/>
            <w:vAlign w:val="center"/>
          </w:tcPr>
          <w:p w:rsidR="00A35330" w:rsidRDefault="00A35330" w:rsidP="002967BF">
            <w:pPr>
              <w:adjustRightInd w:val="0"/>
              <w:snapToGrid w:val="0"/>
              <w:spacing w:line="400" w:lineRule="exact"/>
              <w:jc w:val="center"/>
              <w:rPr>
                <w:rFonts w:ascii="Times New Roman" w:eastAsia="华文仿宋"/>
                <w:sz w:val="24"/>
              </w:rPr>
            </w:pPr>
            <w:r>
              <w:rPr>
                <w:rFonts w:ascii="Times New Roman" w:eastAsia="华文仿宋" w:hint="eastAsia"/>
                <w:sz w:val="24"/>
              </w:rPr>
              <w:t>30</w:t>
            </w:r>
          </w:p>
        </w:tc>
      </w:tr>
    </w:tbl>
    <w:p w:rsidR="00250F7B" w:rsidRDefault="00250F7B" w:rsidP="00250F7B">
      <w:pPr>
        <w:pStyle w:val="a5"/>
        <w:widowControl/>
        <w:spacing w:beforeAutospacing="0" w:afterAutospacing="0" w:line="30" w:lineRule="atLeast"/>
        <w:rPr>
          <w:rFonts w:ascii="仿宋" w:eastAsia="仿宋" w:hAnsi="仿宋"/>
          <w:color w:val="333333"/>
        </w:rPr>
      </w:pPr>
    </w:p>
    <w:p w:rsidR="00B23AF2" w:rsidRPr="00250F7B" w:rsidRDefault="00DB5F4F" w:rsidP="00250F7B">
      <w:pPr>
        <w:pStyle w:val="a5"/>
        <w:widowControl/>
        <w:spacing w:beforeAutospacing="0" w:afterAutospacing="0" w:line="30" w:lineRule="atLeast"/>
        <w:rPr>
          <w:rFonts w:ascii="仿宋" w:eastAsia="仿宋" w:hAnsi="仿宋"/>
          <w:color w:val="333333"/>
        </w:rPr>
      </w:pPr>
      <w:r w:rsidRPr="00250F7B">
        <w:rPr>
          <w:rFonts w:ascii="仿宋" w:eastAsia="仿宋" w:hAnsi="仿宋" w:hint="eastAsia"/>
          <w:color w:val="333333"/>
        </w:rPr>
        <w:t>备注：</w:t>
      </w:r>
    </w:p>
    <w:p w:rsidR="00DB5F4F" w:rsidRPr="00250F7B" w:rsidRDefault="00250F7B" w:rsidP="00250F7B">
      <w:pPr>
        <w:pStyle w:val="a5"/>
        <w:widowControl/>
        <w:spacing w:beforeAutospacing="0" w:afterAutospacing="0" w:line="30" w:lineRule="atLeast"/>
        <w:ind w:firstLineChars="200" w:firstLine="480"/>
        <w:rPr>
          <w:rFonts w:ascii="仿宋" w:eastAsia="仿宋" w:hAnsi="仿宋"/>
        </w:rPr>
      </w:pPr>
      <w:r w:rsidRPr="00250F7B">
        <w:rPr>
          <w:rFonts w:ascii="仿宋" w:eastAsia="仿宋" w:hAnsi="仿宋" w:hint="eastAsia"/>
        </w:rPr>
        <w:t>1.</w:t>
      </w:r>
      <w:r w:rsidR="00DB5F4F" w:rsidRPr="00250F7B">
        <w:rPr>
          <w:rFonts w:ascii="仿宋" w:eastAsia="仿宋" w:hAnsi="仿宋" w:hint="eastAsia"/>
        </w:rPr>
        <w:t>非法添加检测依据：</w:t>
      </w:r>
      <w:r w:rsidR="00DB5F4F" w:rsidRPr="00250F7B">
        <w:rPr>
          <w:rFonts w:ascii="仿宋" w:eastAsia="仿宋" w:hAnsi="仿宋"/>
        </w:rPr>
        <w:t>国家食品药品监督管理局办公室关于发布保健食品中可能非法添加的物质名单（第一批）的通知（食药监办保化〔2012〕33号）</w:t>
      </w:r>
      <w:r w:rsidR="00DB5F4F" w:rsidRPr="00250F7B">
        <w:rPr>
          <w:rFonts w:ascii="仿宋" w:eastAsia="仿宋" w:hAnsi="仿宋" w:hint="eastAsia"/>
        </w:rPr>
        <w:t>；</w:t>
      </w:r>
    </w:p>
    <w:p w:rsidR="00DB5F4F" w:rsidRPr="00250F7B" w:rsidRDefault="00DB5F4F" w:rsidP="00250F7B">
      <w:pPr>
        <w:pStyle w:val="a5"/>
        <w:widowControl/>
        <w:spacing w:beforeAutospacing="0" w:afterAutospacing="0" w:line="30" w:lineRule="atLeast"/>
        <w:ind w:firstLineChars="200" w:firstLine="480"/>
        <w:rPr>
          <w:rFonts w:ascii="仿宋" w:eastAsia="仿宋" w:hAnsi="仿宋"/>
        </w:rPr>
      </w:pPr>
      <w:r w:rsidRPr="00250F7B">
        <w:rPr>
          <w:rFonts w:ascii="仿宋" w:eastAsia="仿宋" w:hAnsi="仿宋" w:hint="eastAsia"/>
        </w:rPr>
        <w:t>2.抽检对象包括南通开发区辖区内保健食品生产企业和经营单位，安排的专项批次数优先考虑覆盖各生产企业（尚有库存）的相关品种，采样工作须按此安排时间次序；</w:t>
      </w:r>
    </w:p>
    <w:p w:rsidR="00A35330" w:rsidRPr="00250F7B" w:rsidRDefault="00DB5F4F" w:rsidP="00250F7B">
      <w:pPr>
        <w:pStyle w:val="a5"/>
        <w:widowControl/>
        <w:spacing w:beforeAutospacing="0" w:afterAutospacing="0" w:line="30" w:lineRule="atLeast"/>
        <w:ind w:firstLineChars="200" w:firstLine="480"/>
        <w:rPr>
          <w:rFonts w:ascii="仿宋" w:eastAsia="仿宋" w:hAnsi="仿宋"/>
        </w:rPr>
      </w:pPr>
      <w:r w:rsidRPr="00250F7B">
        <w:rPr>
          <w:rFonts w:ascii="仿宋" w:eastAsia="仿宋" w:hAnsi="仿宋" w:hint="eastAsia"/>
        </w:rPr>
        <w:t>3.如遇特殊情况，</w:t>
      </w:r>
      <w:r w:rsidR="00250F7B">
        <w:rPr>
          <w:rFonts w:ascii="仿宋" w:eastAsia="仿宋" w:hAnsi="仿宋" w:hint="eastAsia"/>
        </w:rPr>
        <w:t>部分</w:t>
      </w:r>
      <w:r w:rsidRPr="00250F7B">
        <w:rPr>
          <w:rFonts w:ascii="仿宋" w:eastAsia="仿宋" w:hAnsi="仿宋" w:hint="eastAsia"/>
        </w:rPr>
        <w:t>类别所能抽取（采购）批次数不足计划数的，供应商应与市场监管局工作人员商洽后</w:t>
      </w:r>
      <w:r w:rsidR="00A35330" w:rsidRPr="00250F7B">
        <w:rPr>
          <w:rFonts w:ascii="仿宋" w:eastAsia="仿宋" w:hAnsi="仿宋" w:hint="eastAsia"/>
        </w:rPr>
        <w:t>改抽其他品种（批次），以使抽检总数满足30批次的计划。</w:t>
      </w:r>
    </w:p>
    <w:p w:rsidR="00DB5F4F" w:rsidRPr="000E1ABA" w:rsidRDefault="00A35330" w:rsidP="000E1ABA">
      <w:pPr>
        <w:widowControl/>
        <w:jc w:val="left"/>
        <w:rPr>
          <w:rFonts w:ascii="仿宋" w:eastAsia="仿宋" w:hAnsi="仿宋" w:cs="Times New Roman"/>
          <w:kern w:val="0"/>
          <w:sz w:val="24"/>
        </w:rPr>
      </w:pPr>
      <w:r w:rsidRPr="00250F7B">
        <w:rPr>
          <w:rFonts w:ascii="仿宋" w:eastAsia="仿宋" w:hAnsi="仿宋"/>
          <w:sz w:val="24"/>
        </w:rPr>
        <w:br w:type="page"/>
      </w:r>
      <w:r w:rsidRPr="00250F7B">
        <w:rPr>
          <w:rFonts w:ascii="仿宋" w:eastAsia="仿宋" w:hAnsi="仿宋" w:hint="eastAsia"/>
          <w:color w:val="333333"/>
          <w:sz w:val="32"/>
          <w:szCs w:val="32"/>
        </w:rPr>
        <w:lastRenderedPageBreak/>
        <w:t>附件2</w:t>
      </w:r>
    </w:p>
    <w:p w:rsidR="000E1ABA" w:rsidRDefault="000E1ABA" w:rsidP="00250F7B">
      <w:pPr>
        <w:pStyle w:val="a5"/>
        <w:widowControl/>
        <w:spacing w:beforeAutospacing="0" w:afterAutospacing="0" w:line="30" w:lineRule="atLeast"/>
        <w:jc w:val="center"/>
        <w:rPr>
          <w:rFonts w:ascii="方正小标宋简体" w:eastAsia="方正小标宋简体" w:hAnsi="仿宋"/>
          <w:color w:val="333333"/>
          <w:sz w:val="44"/>
          <w:szCs w:val="44"/>
        </w:rPr>
      </w:pPr>
    </w:p>
    <w:p w:rsidR="00A35330" w:rsidRPr="000E1ABA" w:rsidRDefault="00250F7B" w:rsidP="00250F7B">
      <w:pPr>
        <w:pStyle w:val="a5"/>
        <w:widowControl/>
        <w:spacing w:beforeAutospacing="0" w:afterAutospacing="0" w:line="30" w:lineRule="atLeast"/>
        <w:jc w:val="center"/>
        <w:rPr>
          <w:rFonts w:ascii="方正小标宋简体" w:eastAsia="方正小标宋简体" w:hAnsi="仿宋"/>
          <w:color w:val="333333"/>
          <w:sz w:val="44"/>
          <w:szCs w:val="44"/>
        </w:rPr>
      </w:pPr>
      <w:r w:rsidRPr="000E1ABA">
        <w:rPr>
          <w:rFonts w:ascii="方正小标宋简体" w:eastAsia="方正小标宋简体" w:hAnsi="仿宋" w:hint="eastAsia"/>
          <w:color w:val="333333"/>
          <w:sz w:val="44"/>
          <w:szCs w:val="44"/>
        </w:rPr>
        <w:t>报</w:t>
      </w:r>
      <w:r w:rsidR="000E1ABA">
        <w:rPr>
          <w:rFonts w:ascii="方正小标宋简体" w:eastAsia="方正小标宋简体" w:hAnsi="仿宋" w:hint="eastAsia"/>
          <w:color w:val="333333"/>
          <w:sz w:val="44"/>
          <w:szCs w:val="44"/>
        </w:rPr>
        <w:t xml:space="preserve">  </w:t>
      </w:r>
      <w:r w:rsidRPr="000E1ABA">
        <w:rPr>
          <w:rFonts w:ascii="方正小标宋简体" w:eastAsia="方正小标宋简体" w:hAnsi="仿宋" w:hint="eastAsia"/>
          <w:color w:val="333333"/>
          <w:sz w:val="44"/>
          <w:szCs w:val="44"/>
        </w:rPr>
        <w:t>价</w:t>
      </w:r>
      <w:r w:rsidR="000E1ABA">
        <w:rPr>
          <w:rFonts w:ascii="方正小标宋简体" w:eastAsia="方正小标宋简体" w:hAnsi="仿宋" w:hint="eastAsia"/>
          <w:color w:val="333333"/>
          <w:sz w:val="44"/>
          <w:szCs w:val="44"/>
        </w:rPr>
        <w:t xml:space="preserve">  </w:t>
      </w:r>
      <w:r w:rsidRPr="000E1ABA">
        <w:rPr>
          <w:rFonts w:ascii="方正小标宋简体" w:eastAsia="方正小标宋简体" w:hAnsi="仿宋" w:hint="eastAsia"/>
          <w:color w:val="333333"/>
          <w:sz w:val="44"/>
          <w:szCs w:val="44"/>
        </w:rPr>
        <w:t>书</w:t>
      </w:r>
    </w:p>
    <w:p w:rsidR="000E1ABA" w:rsidRDefault="000E1ABA" w:rsidP="00250F7B">
      <w:pPr>
        <w:pStyle w:val="a5"/>
        <w:widowControl/>
        <w:spacing w:beforeAutospacing="0" w:afterAutospacing="0" w:line="30" w:lineRule="atLeast"/>
        <w:rPr>
          <w:rFonts w:ascii="仿宋" w:eastAsia="仿宋" w:hAnsi="仿宋"/>
          <w:color w:val="333333"/>
          <w:sz w:val="32"/>
          <w:szCs w:val="32"/>
        </w:rPr>
      </w:pPr>
    </w:p>
    <w:p w:rsidR="00A35330" w:rsidRPr="000E1ABA" w:rsidRDefault="00250F7B" w:rsidP="00250F7B">
      <w:pPr>
        <w:pStyle w:val="a5"/>
        <w:widowControl/>
        <w:spacing w:beforeAutospacing="0" w:afterAutospacing="0" w:line="30" w:lineRule="atLeast"/>
        <w:rPr>
          <w:rFonts w:ascii="仿宋" w:eastAsia="仿宋" w:hAnsi="仿宋"/>
          <w:color w:val="333333"/>
          <w:sz w:val="32"/>
          <w:szCs w:val="32"/>
        </w:rPr>
      </w:pPr>
      <w:r w:rsidRPr="000E1ABA">
        <w:rPr>
          <w:rFonts w:ascii="仿宋" w:eastAsia="仿宋" w:hAnsi="仿宋" w:hint="eastAsia"/>
          <w:color w:val="333333"/>
          <w:sz w:val="32"/>
          <w:szCs w:val="32"/>
        </w:rPr>
        <w:t>南通市经济技术开发区市场监督管理局：</w:t>
      </w:r>
    </w:p>
    <w:p w:rsidR="00250F7B" w:rsidRPr="000E1ABA" w:rsidRDefault="00250F7B" w:rsidP="000E1ABA">
      <w:pPr>
        <w:pStyle w:val="a5"/>
        <w:widowControl/>
        <w:spacing w:beforeAutospacing="0" w:afterAutospacing="0" w:line="30" w:lineRule="atLeast"/>
        <w:ind w:firstLineChars="200" w:firstLine="640"/>
        <w:rPr>
          <w:rFonts w:ascii="仿宋" w:eastAsia="仿宋" w:hAnsi="仿宋"/>
          <w:bCs/>
          <w:color w:val="333333"/>
          <w:sz w:val="32"/>
          <w:szCs w:val="32"/>
        </w:rPr>
      </w:pPr>
      <w:r w:rsidRPr="000E1ABA">
        <w:rPr>
          <w:rFonts w:ascii="仿宋" w:eastAsia="仿宋" w:hAnsi="仿宋" w:hint="eastAsia"/>
          <w:bCs/>
          <w:color w:val="333333"/>
          <w:sz w:val="32"/>
          <w:szCs w:val="32"/>
        </w:rPr>
        <w:t>我公司已认真阅读《南通市经济技术开发区市场监督管理局保健食品非法添加专项抽样检测采购项目公告》的内容，符合资质要求，意愿承接该项目，现报价如下：</w:t>
      </w:r>
    </w:p>
    <w:p w:rsidR="00250F7B" w:rsidRDefault="00250F7B" w:rsidP="000E1ABA">
      <w:pPr>
        <w:pStyle w:val="a5"/>
        <w:widowControl/>
        <w:spacing w:beforeAutospacing="0" w:afterAutospacing="0" w:line="30" w:lineRule="atLeast"/>
        <w:ind w:firstLineChars="200" w:firstLine="640"/>
        <w:rPr>
          <w:rFonts w:ascii="仿宋" w:eastAsia="仿宋" w:hAnsi="仿宋"/>
          <w:bCs/>
          <w:color w:val="333333"/>
          <w:sz w:val="32"/>
          <w:szCs w:val="32"/>
        </w:rPr>
      </w:pPr>
      <w:r w:rsidRPr="000E1ABA">
        <w:rPr>
          <w:rFonts w:ascii="仿宋" w:eastAsia="仿宋" w:hAnsi="仿宋" w:hint="eastAsia"/>
          <w:bCs/>
          <w:color w:val="333333"/>
          <w:sz w:val="32"/>
          <w:szCs w:val="32"/>
        </w:rPr>
        <w:t>项目</w:t>
      </w:r>
      <w:r w:rsidR="000E1ABA" w:rsidRPr="000E1ABA">
        <w:rPr>
          <w:rFonts w:ascii="仿宋" w:eastAsia="仿宋" w:hAnsi="仿宋" w:hint="eastAsia"/>
          <w:bCs/>
          <w:color w:val="333333"/>
          <w:sz w:val="32"/>
          <w:szCs w:val="32"/>
        </w:rPr>
        <w:t>抽样（购样）、检验费用合计</w:t>
      </w:r>
      <w:r w:rsidR="000E1ABA" w:rsidRPr="000E1ABA">
        <w:rPr>
          <w:rFonts w:ascii="仿宋" w:eastAsia="仿宋" w:hAnsi="仿宋" w:hint="eastAsia"/>
          <w:bCs/>
          <w:color w:val="333333"/>
          <w:sz w:val="32"/>
          <w:szCs w:val="32"/>
          <w:u w:val="single"/>
        </w:rPr>
        <w:t xml:space="preserve">         </w:t>
      </w:r>
      <w:r w:rsidR="000E1ABA">
        <w:rPr>
          <w:rFonts w:ascii="仿宋" w:eastAsia="仿宋" w:hAnsi="仿宋" w:hint="eastAsia"/>
          <w:bCs/>
          <w:color w:val="333333"/>
          <w:sz w:val="32"/>
          <w:szCs w:val="32"/>
          <w:u w:val="single"/>
        </w:rPr>
        <w:t xml:space="preserve"> </w:t>
      </w:r>
      <w:r w:rsidR="000E1ABA" w:rsidRPr="000E1ABA">
        <w:rPr>
          <w:rFonts w:ascii="仿宋" w:eastAsia="仿宋" w:hAnsi="仿宋" w:hint="eastAsia"/>
          <w:bCs/>
          <w:color w:val="333333"/>
          <w:sz w:val="32"/>
          <w:szCs w:val="32"/>
        </w:rPr>
        <w:t>（大写）元。</w:t>
      </w:r>
    </w:p>
    <w:p w:rsidR="000E1ABA" w:rsidRDefault="000E1ABA" w:rsidP="000E1ABA">
      <w:pPr>
        <w:pStyle w:val="a5"/>
        <w:widowControl/>
        <w:spacing w:beforeAutospacing="0" w:afterAutospacing="0" w:line="30" w:lineRule="atLeast"/>
        <w:ind w:firstLineChars="200" w:firstLine="640"/>
        <w:rPr>
          <w:rFonts w:ascii="仿宋" w:eastAsia="仿宋" w:hAnsi="仿宋"/>
          <w:bCs/>
          <w:color w:val="333333"/>
          <w:sz w:val="32"/>
          <w:szCs w:val="32"/>
        </w:rPr>
      </w:pPr>
    </w:p>
    <w:p w:rsidR="000E1ABA" w:rsidRPr="000E1ABA" w:rsidRDefault="000E1ABA" w:rsidP="000E1ABA">
      <w:pPr>
        <w:pStyle w:val="a5"/>
        <w:widowControl/>
        <w:spacing w:beforeAutospacing="0" w:afterAutospacing="0" w:line="30" w:lineRule="atLeast"/>
        <w:ind w:firstLineChars="200" w:firstLine="640"/>
        <w:rPr>
          <w:rFonts w:ascii="仿宋" w:eastAsia="仿宋" w:hAnsi="仿宋"/>
          <w:bCs/>
          <w:color w:val="333333"/>
          <w:sz w:val="32"/>
          <w:szCs w:val="32"/>
        </w:rPr>
      </w:pPr>
    </w:p>
    <w:p w:rsidR="000E1ABA" w:rsidRPr="000E1ABA" w:rsidRDefault="000E1ABA" w:rsidP="000E1ABA">
      <w:pPr>
        <w:pStyle w:val="a5"/>
        <w:widowControl/>
        <w:spacing w:beforeAutospacing="0" w:afterAutospacing="0" w:line="30" w:lineRule="atLeast"/>
        <w:ind w:firstLineChars="1000" w:firstLine="3200"/>
        <w:rPr>
          <w:rFonts w:ascii="仿宋" w:eastAsia="仿宋" w:hAnsi="仿宋"/>
          <w:bCs/>
          <w:color w:val="333333"/>
          <w:sz w:val="32"/>
          <w:szCs w:val="32"/>
        </w:rPr>
      </w:pPr>
      <w:r w:rsidRPr="000E1ABA">
        <w:rPr>
          <w:rFonts w:ascii="仿宋" w:eastAsia="仿宋" w:hAnsi="仿宋" w:hint="eastAsia"/>
          <w:bCs/>
          <w:color w:val="333333"/>
          <w:sz w:val="32"/>
          <w:szCs w:val="32"/>
        </w:rPr>
        <w:t>报价单位</w:t>
      </w:r>
      <w:r>
        <w:rPr>
          <w:rFonts w:ascii="仿宋" w:eastAsia="仿宋" w:hAnsi="仿宋" w:hint="eastAsia"/>
          <w:bCs/>
          <w:color w:val="333333"/>
          <w:sz w:val="32"/>
          <w:szCs w:val="32"/>
        </w:rPr>
        <w:t>（公章）</w:t>
      </w:r>
      <w:r w:rsidRPr="000E1ABA">
        <w:rPr>
          <w:rFonts w:ascii="仿宋" w:eastAsia="仿宋" w:hAnsi="仿宋" w:hint="eastAsia"/>
          <w:bCs/>
          <w:color w:val="333333"/>
          <w:sz w:val="32"/>
          <w:szCs w:val="32"/>
        </w:rPr>
        <w:t>：</w:t>
      </w:r>
      <w:r w:rsidRPr="000E1ABA">
        <w:rPr>
          <w:rFonts w:ascii="仿宋" w:eastAsia="仿宋" w:hAnsi="仿宋" w:hint="eastAsia"/>
          <w:bCs/>
          <w:color w:val="333333"/>
          <w:sz w:val="32"/>
          <w:szCs w:val="32"/>
          <w:u w:val="single"/>
        </w:rPr>
        <w:t xml:space="preserve">      </w:t>
      </w:r>
      <w:r>
        <w:rPr>
          <w:rFonts w:ascii="仿宋" w:eastAsia="仿宋" w:hAnsi="仿宋" w:hint="eastAsia"/>
          <w:bCs/>
          <w:color w:val="333333"/>
          <w:sz w:val="32"/>
          <w:szCs w:val="32"/>
          <w:u w:val="single"/>
        </w:rPr>
        <w:t xml:space="preserve">      </w:t>
      </w:r>
      <w:r w:rsidRPr="000E1ABA">
        <w:rPr>
          <w:rFonts w:ascii="仿宋" w:eastAsia="仿宋" w:hAnsi="仿宋" w:hint="eastAsia"/>
          <w:bCs/>
          <w:color w:val="333333"/>
          <w:sz w:val="32"/>
          <w:szCs w:val="32"/>
          <w:u w:val="single"/>
        </w:rPr>
        <w:t xml:space="preserve"> </w:t>
      </w:r>
    </w:p>
    <w:p w:rsidR="000E1ABA" w:rsidRPr="000E1ABA" w:rsidRDefault="000E1ABA" w:rsidP="000E1ABA">
      <w:pPr>
        <w:pStyle w:val="a5"/>
        <w:widowControl/>
        <w:spacing w:beforeAutospacing="0" w:afterAutospacing="0" w:line="30" w:lineRule="atLeast"/>
        <w:ind w:firstLineChars="1550" w:firstLine="4960"/>
        <w:rPr>
          <w:rFonts w:ascii="仿宋" w:eastAsia="仿宋" w:hAnsi="仿宋"/>
          <w:bCs/>
          <w:color w:val="333333"/>
          <w:sz w:val="32"/>
          <w:szCs w:val="32"/>
        </w:rPr>
      </w:pPr>
      <w:r w:rsidRPr="000E1ABA">
        <w:rPr>
          <w:rFonts w:ascii="仿宋" w:eastAsia="仿宋" w:hAnsi="仿宋" w:hint="eastAsia"/>
          <w:bCs/>
          <w:color w:val="333333"/>
          <w:sz w:val="32"/>
          <w:szCs w:val="32"/>
          <w:u w:val="single"/>
        </w:rPr>
        <w:t xml:space="preserve">       </w:t>
      </w:r>
      <w:r w:rsidRPr="000E1ABA">
        <w:rPr>
          <w:rFonts w:ascii="仿宋" w:eastAsia="仿宋" w:hAnsi="仿宋" w:hint="eastAsia"/>
          <w:bCs/>
          <w:color w:val="333333"/>
          <w:sz w:val="32"/>
          <w:szCs w:val="32"/>
        </w:rPr>
        <w:t>年</w:t>
      </w:r>
      <w:r w:rsidRPr="000E1ABA">
        <w:rPr>
          <w:rFonts w:ascii="仿宋" w:eastAsia="仿宋" w:hAnsi="仿宋" w:hint="eastAsia"/>
          <w:bCs/>
          <w:color w:val="333333"/>
          <w:sz w:val="32"/>
          <w:szCs w:val="32"/>
          <w:u w:val="single"/>
        </w:rPr>
        <w:t xml:space="preserve">   </w:t>
      </w:r>
      <w:r w:rsidRPr="000E1ABA">
        <w:rPr>
          <w:rFonts w:ascii="仿宋" w:eastAsia="仿宋" w:hAnsi="仿宋" w:hint="eastAsia"/>
          <w:bCs/>
          <w:color w:val="333333"/>
          <w:sz w:val="32"/>
          <w:szCs w:val="32"/>
        </w:rPr>
        <w:t>月</w:t>
      </w:r>
      <w:r w:rsidRPr="000E1ABA">
        <w:rPr>
          <w:rFonts w:ascii="仿宋" w:eastAsia="仿宋" w:hAnsi="仿宋" w:hint="eastAsia"/>
          <w:bCs/>
          <w:color w:val="333333"/>
          <w:sz w:val="32"/>
          <w:szCs w:val="32"/>
          <w:u w:val="single"/>
        </w:rPr>
        <w:t xml:space="preserve">   </w:t>
      </w:r>
      <w:r w:rsidRPr="000E1ABA">
        <w:rPr>
          <w:rFonts w:ascii="仿宋" w:eastAsia="仿宋" w:hAnsi="仿宋" w:hint="eastAsia"/>
          <w:bCs/>
          <w:color w:val="333333"/>
          <w:sz w:val="32"/>
          <w:szCs w:val="32"/>
        </w:rPr>
        <w:t>日</w:t>
      </w:r>
    </w:p>
    <w:p w:rsidR="00250F7B" w:rsidRPr="000E1ABA" w:rsidRDefault="00250F7B" w:rsidP="00250F7B">
      <w:pPr>
        <w:pStyle w:val="a5"/>
        <w:widowControl/>
        <w:spacing w:beforeAutospacing="0" w:afterAutospacing="0" w:line="700" w:lineRule="exact"/>
        <w:jc w:val="center"/>
        <w:rPr>
          <w:rFonts w:ascii="仿宋" w:eastAsia="仿宋" w:hAnsi="仿宋"/>
          <w:bCs/>
          <w:color w:val="333333"/>
          <w:sz w:val="32"/>
          <w:szCs w:val="32"/>
        </w:rPr>
      </w:pPr>
    </w:p>
    <w:p w:rsidR="00250F7B" w:rsidRPr="00250F7B" w:rsidRDefault="00250F7B">
      <w:pPr>
        <w:pStyle w:val="a5"/>
        <w:widowControl/>
        <w:spacing w:beforeAutospacing="0" w:afterAutospacing="0" w:line="30" w:lineRule="atLeast"/>
        <w:rPr>
          <w:rFonts w:ascii="Times New Roman" w:eastAsia="微软雅黑" w:hAnsi="Times New Roman"/>
          <w:color w:val="333333"/>
        </w:rPr>
      </w:pPr>
    </w:p>
    <w:sectPr w:rsidR="00250F7B" w:rsidRPr="00250F7B" w:rsidSect="00A35330">
      <w:headerReference w:type="default" r:id="rId9"/>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35" w:rsidRDefault="00E32835" w:rsidP="00B23AF2">
      <w:r>
        <w:separator/>
      </w:r>
    </w:p>
  </w:endnote>
  <w:endnote w:type="continuationSeparator" w:id="0">
    <w:p w:rsidR="00E32835" w:rsidRDefault="00E32835" w:rsidP="00B2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35" w:rsidRDefault="00E32835" w:rsidP="00B23AF2">
      <w:r>
        <w:separator/>
      </w:r>
    </w:p>
  </w:footnote>
  <w:footnote w:type="continuationSeparator" w:id="0">
    <w:p w:rsidR="00E32835" w:rsidRDefault="00E32835" w:rsidP="00B2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F2" w:rsidRDefault="00B23AF2" w:rsidP="00F94F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013"/>
    <w:multiLevelType w:val="hybridMultilevel"/>
    <w:tmpl w:val="AA8AF434"/>
    <w:lvl w:ilvl="0" w:tplc="2F789E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2A017E"/>
    <w:multiLevelType w:val="hybridMultilevel"/>
    <w:tmpl w:val="C17C5CF0"/>
    <w:lvl w:ilvl="0" w:tplc="CA605C5C">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6F7054"/>
    <w:multiLevelType w:val="hybridMultilevel"/>
    <w:tmpl w:val="7C78AB82"/>
    <w:lvl w:ilvl="0" w:tplc="F3B8963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520038F"/>
    <w:multiLevelType w:val="hybridMultilevel"/>
    <w:tmpl w:val="84041C48"/>
    <w:lvl w:ilvl="0" w:tplc="D292D4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A3A3B07"/>
    <w:multiLevelType w:val="hybridMultilevel"/>
    <w:tmpl w:val="B2840BDA"/>
    <w:lvl w:ilvl="0" w:tplc="80163A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BC35D55"/>
    <w:multiLevelType w:val="hybridMultilevel"/>
    <w:tmpl w:val="733096EA"/>
    <w:lvl w:ilvl="0" w:tplc="2932CE1C">
      <w:start w:val="1"/>
      <w:numFmt w:val="decimal"/>
      <w:lvlText w:val="%1."/>
      <w:lvlJc w:val="left"/>
      <w:pPr>
        <w:ind w:left="840" w:hanging="360"/>
      </w:pPr>
      <w:rPr>
        <w:rFonts w:ascii="仿宋" w:eastAsia="仿宋" w:hAnsi="仿宋"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E1316DD"/>
    <w:multiLevelType w:val="hybridMultilevel"/>
    <w:tmpl w:val="059A46AC"/>
    <w:lvl w:ilvl="0" w:tplc="DB0A990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F2"/>
    <w:rsid w:val="000E1ABA"/>
    <w:rsid w:val="00152FC7"/>
    <w:rsid w:val="00197428"/>
    <w:rsid w:val="00250F7B"/>
    <w:rsid w:val="002B2BBF"/>
    <w:rsid w:val="00370987"/>
    <w:rsid w:val="00384F1D"/>
    <w:rsid w:val="003F5756"/>
    <w:rsid w:val="00446E95"/>
    <w:rsid w:val="00466A76"/>
    <w:rsid w:val="004D72C5"/>
    <w:rsid w:val="0058537C"/>
    <w:rsid w:val="00604240"/>
    <w:rsid w:val="0062548C"/>
    <w:rsid w:val="00627470"/>
    <w:rsid w:val="00653C66"/>
    <w:rsid w:val="006C2A6D"/>
    <w:rsid w:val="007648D7"/>
    <w:rsid w:val="008479BF"/>
    <w:rsid w:val="008A658C"/>
    <w:rsid w:val="009915C9"/>
    <w:rsid w:val="00A178F3"/>
    <w:rsid w:val="00A35330"/>
    <w:rsid w:val="00A60CEA"/>
    <w:rsid w:val="00AA26C3"/>
    <w:rsid w:val="00B23AF2"/>
    <w:rsid w:val="00DB5F4F"/>
    <w:rsid w:val="00E32835"/>
    <w:rsid w:val="00F430F9"/>
    <w:rsid w:val="00F94FFE"/>
    <w:rsid w:val="00FC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AF2"/>
    <w:rPr>
      <w:sz w:val="18"/>
      <w:szCs w:val="18"/>
    </w:rPr>
  </w:style>
  <w:style w:type="paragraph" w:styleId="a4">
    <w:name w:val="footer"/>
    <w:basedOn w:val="a"/>
    <w:link w:val="Char0"/>
    <w:uiPriority w:val="99"/>
    <w:semiHidden/>
    <w:unhideWhenUsed/>
    <w:rsid w:val="00B23A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AF2"/>
    <w:rPr>
      <w:sz w:val="18"/>
      <w:szCs w:val="18"/>
    </w:rPr>
  </w:style>
  <w:style w:type="paragraph" w:styleId="a5">
    <w:name w:val="Normal (Web)"/>
    <w:basedOn w:val="a"/>
    <w:qFormat/>
    <w:rsid w:val="00B23AF2"/>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AF2"/>
    <w:rPr>
      <w:sz w:val="18"/>
      <w:szCs w:val="18"/>
    </w:rPr>
  </w:style>
  <w:style w:type="paragraph" w:styleId="a4">
    <w:name w:val="footer"/>
    <w:basedOn w:val="a"/>
    <w:link w:val="Char0"/>
    <w:uiPriority w:val="99"/>
    <w:semiHidden/>
    <w:unhideWhenUsed/>
    <w:rsid w:val="00B23A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AF2"/>
    <w:rPr>
      <w:sz w:val="18"/>
      <w:szCs w:val="18"/>
    </w:rPr>
  </w:style>
  <w:style w:type="paragraph" w:styleId="a5">
    <w:name w:val="Normal (Web)"/>
    <w:basedOn w:val="a"/>
    <w:qFormat/>
    <w:rsid w:val="00B23AF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1863-88DC-45A7-B7EF-F42B6869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Company>china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2019-02-18T09:49:00Z</cp:lastPrinted>
  <dcterms:created xsi:type="dcterms:W3CDTF">2019-02-19T03:44:00Z</dcterms:created>
  <dcterms:modified xsi:type="dcterms:W3CDTF">2019-02-19T03:44:00Z</dcterms:modified>
</cp:coreProperties>
</file>